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English 4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Mr. Scholtz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sz w:val="28"/>
          <w:szCs w:val="28"/>
          <w:u w:val="single"/>
        </w:rPr>
      </w:pPr>
      <w:r w:rsidDel="00000000" w:rsidR="00000000" w:rsidRPr="00000000">
        <w:rPr>
          <w:i w:val="1"/>
          <w:sz w:val="28"/>
          <w:szCs w:val="28"/>
          <w:u w:val="single"/>
          <w:rtl w:val="0"/>
        </w:rPr>
        <w:t xml:space="preserve">Fahrenheit 451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Study Guide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6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Section One- you will be asked to match characters and their descriptions from the book.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Section Two- you will be asked to give the plot sequence of the story. You will number the events of the story in the order in which they took place.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Section Three- you will be asked to recognize examples of figurative language from the text. Terms you will need to be familiar with: alliteration, allusion, idiom, imagery, hyperbole, metaphor, metonymy, onomatopoeia, oxymoron, paradox, personification, simile, symbol, and synecdoche.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Section Four: matching quotes with themes of the book. The themes will revolve around alienation and loneliness, censorship, change and transformation, conformity, and reliance on technology.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Section Five: section five will be a writing prompt.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