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Scholtz</w:t>
      </w:r>
    </w:p>
    <w:p w:rsidR="00000000" w:rsidDel="00000000" w:rsidP="00000000" w:rsidRDefault="00000000" w:rsidRPr="00000000" w14:paraId="0000000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English 4</w:t>
      </w:r>
    </w:p>
    <w:p w:rsidR="00000000" w:rsidDel="00000000" w:rsidP="00000000" w:rsidRDefault="00000000" w:rsidRPr="00000000" w14:paraId="0000000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Man in the Well Discussion Questions</w:t>
      </w:r>
    </w:p>
    <w:p w:rsidR="00000000" w:rsidDel="00000000" w:rsidP="00000000" w:rsidRDefault="00000000" w:rsidRPr="00000000" w14:paraId="00000004">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Man in the Well”</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b w:val="1"/>
          <w:sz w:val="24"/>
          <w:szCs w:val="24"/>
          <w:rtl w:val="0"/>
        </w:rPr>
        <w:t xml:space="preserve">Discussion and Analysis</w:t>
      </w:r>
    </w:p>
    <w:p w:rsidR="00000000" w:rsidDel="00000000" w:rsidP="00000000" w:rsidRDefault="00000000" w:rsidRPr="00000000" w14:paraId="00000007">
      <w:pPr>
        <w:numPr>
          <w:ilvl w:val="0"/>
          <w:numId w:val="1"/>
        </w:numPr>
        <w:spacing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responsibility the children have to help the man? (Follow up: Do people always have the responsibility to help each other?)</w:t>
      </w:r>
    </w:p>
    <w:p w:rsidR="00000000" w:rsidDel="00000000" w:rsidP="00000000" w:rsidRDefault="00000000" w:rsidRPr="00000000" w14:paraId="00000008">
      <w:pPr>
        <w:numPr>
          <w:ilvl w:val="0"/>
          <w:numId w:val="1"/>
        </w:numPr>
        <w:spacing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responsibility the children have to each other? (Follow up: Do friends have the responsibility to help each other do the right thing?)</w:t>
      </w:r>
    </w:p>
    <w:p w:rsidR="00000000" w:rsidDel="00000000" w:rsidP="00000000" w:rsidRDefault="00000000" w:rsidRPr="00000000" w14:paraId="00000009">
      <w:pPr>
        <w:numPr>
          <w:ilvl w:val="0"/>
          <w:numId w:val="1"/>
        </w:numPr>
        <w:spacing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are the children avoiding responsibility? (Follow up: Are the children showing any responsible choices in the story?)</w:t>
      </w:r>
    </w:p>
    <w:p w:rsidR="00000000" w:rsidDel="00000000" w:rsidP="00000000" w:rsidRDefault="00000000" w:rsidRPr="00000000" w14:paraId="0000000A">
      <w:pPr>
        <w:numPr>
          <w:ilvl w:val="0"/>
          <w:numId w:val="1"/>
        </w:numPr>
        <w:spacing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is it easier for the children in the story to be unkind when the man doesn't know who they are? Can you think of other instances where people are unkind to each other when their identity is anonymous?</w:t>
      </w:r>
    </w:p>
    <w:p w:rsidR="00000000" w:rsidDel="00000000" w:rsidP="00000000" w:rsidRDefault="00000000" w:rsidRPr="00000000" w14:paraId="0000000B">
      <w:pPr>
        <w:numPr>
          <w:ilvl w:val="0"/>
          <w:numId w:val="1"/>
        </w:numPr>
        <w:spacing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does using someone's name have such a powerful effect? (Follow up: Why is it important to learn the names of your peers?)</w:t>
      </w:r>
    </w:p>
    <w:p w:rsidR="00000000" w:rsidDel="00000000" w:rsidP="00000000" w:rsidRDefault="00000000" w:rsidRPr="00000000" w14:paraId="0000000C">
      <w:pPr>
        <w:spacing w:line="48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turn in a one sheet of answers for the whole group. Make sure everyone’s name is on the answer sheet.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