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English 3</w:t>
      </w:r>
    </w:p>
    <w:p w:rsidR="00000000" w:rsidDel="00000000" w:rsidP="00000000" w:rsidRDefault="00000000" w:rsidRPr="00000000">
      <w:pPr>
        <w:contextualSpacing w:val="0"/>
        <w:rPr/>
      </w:pPr>
      <w:r w:rsidDel="00000000" w:rsidR="00000000" w:rsidRPr="00000000">
        <w:rPr>
          <w:rtl w:val="0"/>
        </w:rPr>
        <w:t xml:space="preserve">Mr. Scholtz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Transcendentalism Final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Over the last few weeks we have looked at a number of works of Transcendentalism. We started the unit by looking at key figures and defining the tenets of this literary and philosophical movement. The tenets being self-reliance, nonconformity, optimism, free thought, confidence and the importance of nature.  While this movement took place over 150 years ago, we still see the influence of Transcendentalism in our world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bookmarkStart w:colFirst="0" w:colLast="0" w:name="_gjdgxs" w:id="0"/>
      <w:bookmarkEnd w:id="0"/>
      <w:r w:rsidDel="00000000" w:rsidR="00000000" w:rsidRPr="00000000">
        <w:rPr>
          <w:rtl w:val="0"/>
        </w:rPr>
        <w:t xml:space="preserve">Your task is to select two tenets of Transcendentalism and then find examples of these two tenets in pop-culture. These examples can come from a number of mediums such as a song, film, TV show, cartoon, comic strip, comic book, graphic novel or piece of artwork. After selecting the medium(s) for your examples, you will need to explain how both examples relate to Transcendentalism and how they are relevant to your life today. Along with your examples from pop-culture you will need to include quotes from the texts we have read over the course of this unit for each tenet. Your quotes should be relate to the tenets you have chosen, be sure to cite the author of the quote and from what text the quote comes from.</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For this assignment you really need to dive deep to examine these tenets and how the examples you have chosen reflect transcendental thought and why they are pertinent to our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Your final for this unit will be in the form of an essay. Your essay should include your examples of the tenets and medium(s) you have chosen. The examples can be song lyrics, quotes from a comic/graphic novel, a film or TV show. You want your essay to help your audience understand the connections between the your examples of Transcendentalism and our lives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This assignment will be due at the start of class on </w:t>
      </w:r>
      <w:r w:rsidDel="00000000" w:rsidR="00000000" w:rsidRPr="00000000">
        <w:rPr>
          <w:b w:val="1"/>
          <w:u w:val="single"/>
          <w:rtl w:val="0"/>
        </w:rPr>
        <w:t xml:space="preserve">Friday</w:t>
      </w:r>
      <w:r w:rsidDel="00000000" w:rsidR="00000000" w:rsidRPr="00000000">
        <w:rPr>
          <w:rtl w:val="0"/>
        </w:rPr>
        <w:t xml:space="preserve"> </w:t>
      </w:r>
      <w:r w:rsidDel="00000000" w:rsidR="00000000" w:rsidRPr="00000000">
        <w:rPr>
          <w:b w:val="1"/>
          <w:u w:val="single"/>
          <w:rtl w:val="0"/>
        </w:rPr>
        <w:t xml:space="preserve">10/13</w:t>
      </w: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Assignment requirements: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MLA Format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a quote from the text in each body paragraph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a clear and concise thesis in your introductory paragraph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Clear transition between paragraphs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essay will be graded on Ideas (5) Sentence Fluency (5), Conventions (5), Organization (5), and MLA format (5).</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